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6078D" w14:textId="13DDFD19" w:rsidR="00D60B91" w:rsidRDefault="008534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Замовник: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Державна установа «Територіальне медичне об</w:t>
      </w:r>
      <w:r w:rsidR="00256A7C"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єднання МВС України по Львівській області»</w:t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</w:p>
    <w:p w14:paraId="462CA41C" w14:textId="77777777"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ЄДРПОУ</w:t>
      </w:r>
      <w:r>
        <w:rPr>
          <w:rFonts w:ascii="Times New Roman" w:eastAsia="Times New Roman" w:hAnsi="Times New Roman" w:cs="Times New Roman"/>
          <w:sz w:val="20"/>
          <w:szCs w:val="20"/>
        </w:rPr>
        <w:t>: 08734210</w:t>
      </w:r>
    </w:p>
    <w:p w14:paraId="39A091A0" w14:textId="77777777"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sz w:val="20"/>
          <w:szCs w:val="20"/>
        </w:rPr>
        <w:t>: 79068, м. Львів, вул. Замарстинівська, 233</w:t>
      </w:r>
    </w:p>
    <w:p w14:paraId="5FFF7D97" w14:textId="77777777" w:rsidR="00D60B91" w:rsidRDefault="00D60B91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6781FB38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14:paraId="008F8CBB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14:paraId="1E169F4D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14:paraId="64EA1DBF" w14:textId="77777777" w:rsidR="00D60B91" w:rsidRDefault="00D6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a"/>
        <w:tblW w:w="150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110"/>
        <w:gridCol w:w="1985"/>
        <w:gridCol w:w="2410"/>
        <w:gridCol w:w="3260"/>
        <w:gridCol w:w="2815"/>
      </w:tblGrid>
      <w:tr w:rsidR="00D60B91" w14:paraId="572D58B6" w14:textId="77777777" w:rsidTr="00C563DA">
        <w:trPr>
          <w:trHeight w:val="265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840663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F5C59A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AA8349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7B2EEE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C44F21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1C89B0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1DB29F0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E49F8D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0C9A304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727F8C2B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44E9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D60B91" w14:paraId="4BA328B2" w14:textId="77777777" w:rsidTr="00C563DA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1358F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605099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0A00D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8F27A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DBC1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661C" w14:textId="77777777" w:rsidR="00D60B91" w:rsidRDefault="00853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D60B91" w14:paraId="57D8A194" w14:textId="77777777" w:rsidTr="00C563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1D6A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42CE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7D66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A479" w14:textId="01AD356D" w:rsidR="00D60B91" w:rsidRDefault="00C563DA" w:rsidP="00BD7D6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7773" w14:textId="7E17A356" w:rsidR="00D60B91" w:rsidRDefault="00C563D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20D0" w14:textId="5937BA87" w:rsidR="00D60B91" w:rsidRDefault="00C563D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60B91" w14:paraId="00C60D42" w14:textId="77777777" w:rsidTr="00C563DA">
        <w:trPr>
          <w:trHeight w:val="54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98B0" w14:textId="1375EF28" w:rsidR="00D60B91" w:rsidRDefault="0025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5D52" w14:textId="229C64FE" w:rsidR="00D60B91" w:rsidRDefault="00AB03EC" w:rsidP="000C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 реагентів для екстракції ДНК та РНК з біологічного матеріалу «DNA/RNA-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Mag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(кількість виділень 100) (код НК 024:2023: 47923 Множинні віруси, пов'язані з респіраторними захворюваннями, нуклеїнові кислоти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), реагент), Набір реагентів для виявлення РНК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коронавірусу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SARS-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CoV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-2 методом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полімеразної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ланцюгової реакції в реальному часі «Covid-19- ПЛР» (кількість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виявлень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96) (код НК 024:2023: 50284 –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Коронавірус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(SARS-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CoV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нуклеїнова кислота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), набір, аналіз нуклеїнових кислот), Набір реагентів для виявлення РНК вірусу гепатиту С (HСV) методом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полімеразної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ланцюгової реакції у реальному часі «HCV-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screen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-ПЛР» (кількість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виявлень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96) (код НК 024:2023: 48374 — Вірус гепатиту C, нуклеїнова кислота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набір, аналіз нуклеїнових кислот), Набір реагентів для виявлення ДНК вірусу гепатиту В (HВV) методом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полімеразної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ланцюгової реакції у реальному часі «HBV-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screen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-ПЛР» (кількість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виявлень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96) (код НК 024:2023: 48307 — Вірус гепатиту B, ядерна нуклеїнова кислота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набір, аналіз нуклеїнових кислот), ІФА-набір для якісного виявлення поверхневого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антигена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вірусу </w:t>
            </w:r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гепатиту В (кількість тестів 96) (код НК 024:2023: 48319 — Вірус гепатиту B, поверхневий антиген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), набір,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аналіз (ІФА)), ІФА-набір для якісного виявлення сумарних антитіл до вірусу гепатиту С (кількість тестів 96) (код НК 024:2023: 48365 - Вірус гепатиту C, загальні антитіла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набір,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аналіз (ІФА)), Якісне виявлення сумарних антитіл до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Treponema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pallidum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(кількість тестів 96) (код НК 024:2023: 51798 —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Treponema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pallidum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загальні антитіла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набір,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аналіз (ІФА)), Кількісне визначення антитіл класу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Toxoplasma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gondii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(кількість тестів 96) (код НК 024:2023: 52436 - Токсоплазма, антитіла класу імуноглобулін G (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), набір,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аналіз (ІФА)), Кількісне визначення антитіл класу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цитомегаловірусу людини (кількість тестів 96) (код НК 024:2023: 49712 -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Cytomegalovirus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(CMV), імуноглобулін G (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антитіла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), набір,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аналіз (ІФА)), Якісне та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напівкількісне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виявлення антитіл класу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вірусу простого герпесу першого та другого типів (кількість тестів 96) (код НК 024:2023: 49541 - Вірус простого герпесу 1 і 2 (HSV1 і 2), імуноглобулін G (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антитіла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), набір,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аналіз (ІФА)), Якісне та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напівкількісне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виявлення антитіл класу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капсидного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антигена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вірусу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Епштейна-Барр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(VCA) (кількість тестів 96) (код НК 024:2023: 49657 - Вірус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Epstein-Barr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(EBV) VCA, імуноглобулін G (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антитіла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), набір,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аналіз (ІФА)), ІФА-набір для якісного та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напівкількісного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виявлення антитіл класу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Borrelia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burgdorferi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96 </w:t>
            </w:r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тестів,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стриповий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(код НК 024:2023: 50568 -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Бореліоз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, антитіла класу імуноглобулін G (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)/M (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), набір,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аналіз (ІФА)), ІФА-набір для якісного виявлення антитіл класу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Ascaris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lumbricoides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96 тестів,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стриповий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(код НК 024:2023: 52133 — Аскарида людська, антитіла класу імуноглобулін G (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), набір,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аналіз (ІФА)), ІФА-набір для якісного виявлення антитіл класу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Toxocara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canis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96 тестів,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стриповий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(код НК 024:2023: 52418 —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Токсокара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собача, антитіла класу імуноглобулін G (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), набір,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аналіз (ІФА)), ІФА-набір для якісного виявлення антитіл до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Giardia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lamblia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intestinalis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96 тестів,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стриповий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(код НК 024:2023: 62915 —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Giardia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lamblia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загальні антитіла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), комплект,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аналіз (ІФA)), Кількісне визначення антитіл класу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вірусу краснухи (кількість тестів 96) (код НК 024:2023: 50265- Вірус краснухи, антигени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набір,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аналіз (ІФА)), DIA®-HIV-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Ag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Ab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тест-система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імуноферментна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одночасного виявлення антитіл до ВІЛ 1/2 та антигену р24 ВІЛ-1 (кількість тестів 96) (код НК 024:2023: ВІЛ-1/ВІЛ-2, антигени/антитіла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), набір,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аналіз (ІФА)) («Єдиний закупівельний словник код ДК 021:2015 - 33690000-3 — Лікарські засоби різні)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F445" w14:textId="2479CC84" w:rsidR="00D60B91" w:rsidRDefault="00AB03EC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146 000</w:t>
            </w:r>
            <w:r w:rsidR="0052038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BFEC" w14:textId="792E562F" w:rsidR="008534F3" w:rsidRDefault="00C563DA" w:rsidP="00B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UA-2024-02-05-010001-a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5BEC" w14:textId="77777777" w:rsidR="00AB03EC" w:rsidRPr="00F827DD" w:rsidRDefault="00AB03EC" w:rsidP="00AB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7D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Технічні та якісні характеристики медичних виробів повинні бути внесені до Державного реєстру медичної техніки та виробів медичного призначення та/або введені в обіг відповідно до</w:t>
            </w:r>
          </w:p>
          <w:p w14:paraId="61AD8FA2" w14:textId="77472C0C" w:rsidR="008534F3" w:rsidRPr="008534F3" w:rsidRDefault="00AB03EC" w:rsidP="00AB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7DD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законодавства у сфері технічного регулювання та оцінки відповідності (згідно з вимогами  Технічного регламенту затвердженого Постановою КМУ від 02.10.2013 р. № 753 або Технічного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27DD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регламенту затвердженого Постановою КМУ від 02.10.2013 р. № 754).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1DF4" w14:textId="2B45A81B" w:rsidR="00D60B91" w:rsidRDefault="00AB03EC" w:rsidP="002A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Очікувана вартість визначена відповідно до наказу Міністерства розвитку економіки, торгівлі та сільського господарства від 18.02.2020 №275 «Про затвердження примірної методики визначення очікуваної вартості предмета закупівлі», шляхом аналізу ринку через використання загальнодоступної інформації (сайти виробників та/або постачальників відповідної продукції), проведення ринкових консультацій методом порівняння ринкових цін, аналізу середньозважених ринкових цін, а також на підставі отриманих цінових пропозицій від ринку, та з врахування власних потреб.</w:t>
            </w:r>
          </w:p>
        </w:tc>
      </w:tr>
    </w:tbl>
    <w:p w14:paraId="48F75ADE" w14:textId="76E7B7E0" w:rsidR="00D60B91" w:rsidRDefault="00D60B91" w:rsidP="00BD7D67">
      <w:pPr>
        <w:spacing w:line="360" w:lineRule="auto"/>
        <w:rPr>
          <w:rFonts w:ascii="Times New Roman" w:eastAsia="Times New Roman" w:hAnsi="Times New Roman" w:cs="Times New Roman"/>
          <w:b/>
          <w:color w:val="943734"/>
          <w:sz w:val="20"/>
          <w:szCs w:val="20"/>
          <w:u w:val="single"/>
        </w:rPr>
      </w:pPr>
    </w:p>
    <w:sectPr w:rsidR="00D60B91">
      <w:pgSz w:w="16838" w:h="11906" w:orient="landscape"/>
      <w:pgMar w:top="709" w:right="426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91"/>
    <w:rsid w:val="00041155"/>
    <w:rsid w:val="000C5D39"/>
    <w:rsid w:val="00256A7C"/>
    <w:rsid w:val="002A08BD"/>
    <w:rsid w:val="0052038B"/>
    <w:rsid w:val="0074468E"/>
    <w:rsid w:val="0079739B"/>
    <w:rsid w:val="008534F3"/>
    <w:rsid w:val="009728F2"/>
    <w:rsid w:val="00A66114"/>
    <w:rsid w:val="00AB03EC"/>
    <w:rsid w:val="00BD7D67"/>
    <w:rsid w:val="00C563DA"/>
    <w:rsid w:val="00D60B91"/>
    <w:rsid w:val="00D81D84"/>
    <w:rsid w:val="00E61270"/>
    <w:rsid w:val="00FC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E637"/>
  <w15:docId w15:val="{F677FF4C-C77D-42BD-9597-1371D8A2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3DE5"/>
    <w:rPr>
      <w:b/>
      <w:bCs/>
    </w:rPr>
  </w:style>
  <w:style w:type="paragraph" w:styleId="a5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7">
    <w:name w:val="Emphasis"/>
    <w:basedOn w:val="a0"/>
    <w:uiPriority w:val="20"/>
    <w:qFormat/>
    <w:rsid w:val="00053DE5"/>
    <w:rPr>
      <w:i/>
      <w:iCs/>
    </w:rPr>
  </w:style>
  <w:style w:type="paragraph" w:styleId="a8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oMXJ43akhsUEi3u7oxAbgHAOw==">AMUW2mUI6sEUAvRpw8Irt1197UtShUsXbdCRrS4XeNd6BthGX9DFoGrmRZX3EUXuDb66wNZxhyj5PU8Wd4F8k7NtXg7/H16iDhA7K0qP5OI9QQL03SJGnOAEQP5Eoquh/Tr1ADHuRo0b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10</cp:revision>
  <dcterms:created xsi:type="dcterms:W3CDTF">2023-11-13T07:08:00Z</dcterms:created>
  <dcterms:modified xsi:type="dcterms:W3CDTF">2024-02-05T12:49:00Z</dcterms:modified>
</cp:coreProperties>
</file>